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Plantilla Maestra de Evaluación y Directorio de Proveedores por Rubro de Obra</w:t>
      </w:r>
    </w:p>
    <w:p>
      <w:pPr>
        <w:pStyle w:val="Heading1"/>
      </w:pPr>
      <w:r>
        <w:t xml:space="preserve">1. Protocolo de Homologación y Criterios de Selección</w:t>
      </w:r>
    </w:p>
    <w:p>
      <w:r>
        <w:t xml:space="preserve">Esta guía técnica establece el procedimiento estándar para la captación, evaluación técnico-financiera y contratación de proveedores de materiales y mano de obra para proyectos de cabañas. El promotor o inversor debe emplear estos criterios objetivos para cotejar un mínimo de tres cotizaciones por rubro antes de comprometer anticipos contractuales.</w:t>
      </w:r>
    </w:p>
    <w:p>
      <w:pPr>
        <w:pStyle w:val="ListParagraph"/>
        <w:numPr>
          <w:ilvl w:val="0"/>
          <w:numId w:val="1"/>
        </w:numPr>
      </w:pPr>
      <w:r>
        <w:t xml:space="preserve">Capacidad técnica y solvencia: Verificación de registro fiscal vigente, seguro de responsabilidad civil y portafolio verificable de obras similares ejecutadas en los últimos 24 meses.</w:t>
      </w:r>
    </w:p>
    <w:p>
      <w:pPr>
        <w:pStyle w:val="ListParagraph"/>
        <w:numPr>
          <w:ilvl w:val="0"/>
          <w:numId w:val="1"/>
        </w:numPr>
      </w:pPr>
      <w:r>
        <w:t xml:space="preserve">Desglose presupuestario estandarizado: Exigencia de presupuestos con precios unitarios desglosados (material, mano de obra, acarreos y mermas estimadas), evitando partidas a tanto alzado sin especificación.</w:t>
      </w:r>
    </w:p>
    <w:p>
      <w:pPr>
        <w:pStyle w:val="ListParagraph"/>
        <w:numPr>
          <w:ilvl w:val="0"/>
          <w:numId w:val="1"/>
        </w:numPr>
      </w:pPr>
      <w:r>
        <w:t xml:space="preserve">Programación y plazos: Cronograma vinculante con hitos de entrega parciales, indicación expresa de plazos de aprovisionamiento de materiales críticos y penalizaciones por demora injustificada.</w:t>
      </w:r>
    </w:p>
    <w:p>
      <w:pPr>
        <w:pStyle w:val="ListParagraph"/>
        <w:numPr>
          <w:ilvl w:val="0"/>
          <w:numId w:val="1"/>
        </w:numPr>
      </w:pPr>
      <w:r>
        <w:t xml:space="preserve">Condiciones de pago y garantías: Esquema escalonado contra avance de obra certificado (ejemplo: anticipo inicial de acopio no superior al 20-30%, pagos por avance y retención técnica del 5% al 10% hasta recepción a conformidad y vencimiento del periodo de vicios ocultos).</w:t>
      </w:r>
    </w:p>
    <w:p>
      <w:pPr>
        <w:pStyle w:val="Heading1"/>
      </w:pPr>
      <w:r>
        <w:t xml:space="preserve">2. Rubro 1: Cimentaciones y Movimiento de Tierras</w:t>
      </w:r>
    </w:p>
    <w:p>
      <w:r>
        <w:t xml:space="preserve">La cimentación condiciona la estabilidad estructural y la durabilidad frente al terreno y la humedad. Este rubro cubre excavaciones, zapatas, losas, micropilotes o dados para apoyos puntuales de madera.</w:t>
      </w:r>
    </w:p>
    <w:p>
      <w:pPr>
        <w:pStyle w:val="ListParagraph"/>
        <w:numPr>
          <w:ilvl w:val="0"/>
          <w:numId w:val="1"/>
        </w:numPr>
      </w:pPr>
      <w:r>
        <w:t xml:space="preserve">Campos de contacto y registro: Razón social, NIF/RUT/RFC, responsable técnico en sitio, teléfono directo, correo operativo y dirección de base de maquinaria.</w:t>
      </w:r>
    </w:p>
    <w:p>
      <w:pPr>
        <w:pStyle w:val="ListParagraph"/>
        <w:numPr>
          <w:ilvl w:val="0"/>
          <w:numId w:val="1"/>
        </w:numPr>
      </w:pPr>
      <w:r>
        <w:t xml:space="preserve">Especificaciones técnicas mínimas: Resistencia característica del concreto (ej. f'c 21 MPa / H-21 o superior según cálculo), tipo de acero de refuerzo (límite elástico, corrugado certificado), y sistema de drenaje perimetral o impermeabilización de sobrecimientos.</w:t>
      </w:r>
    </w:p>
    <w:p>
      <w:pPr>
        <w:pStyle w:val="ListParagraph"/>
        <w:numPr>
          <w:ilvl w:val="0"/>
          <w:numId w:val="1"/>
        </w:numPr>
      </w:pPr>
      <w:r>
        <w:t xml:space="preserve">Condiciones económicas y logística: Costo por metro cúbico excavado (manual vs. maquinaria), costo por m³ de hormigón vertido, inclusión de ensayos de probetas a 7 y 28 días, y cobertura de fletes en accesos rurales difíciles.</w:t>
      </w:r>
    </w:p>
    <w:p>
      <w:pPr>
        <w:pStyle w:val="ListParagraph"/>
        <w:numPr>
          <w:ilvl w:val="0"/>
          <w:numId w:val="1"/>
        </w:numPr>
      </w:pPr>
      <w:r>
        <w:t xml:space="preserve">Garantías contractuales: Garantía de estabilidad estructural y estanqueidad frente a capilaridad por un mínimo legal de 10 años en elementos portantes.</w:t>
      </w:r>
    </w:p>
    <w:p>
      <w:pPr>
        <w:pStyle w:val="Heading1"/>
      </w:pPr>
      <w:r>
        <w:t xml:space="preserve">3. Rubro 2: Estructura Principal y Maderas</w:t>
      </w:r>
    </w:p>
    <w:p>
      <w:r>
        <w:t xml:space="preserve">Comprende los elementos portantes verticales y horizontales, entramados ligeros o pesados, vigas laminadas, columnas y correas. La calidad y el curado de la madera determinan la estabilidad dimensional frente a variaciones climáticas.</w:t>
      </w:r>
    </w:p>
    <w:p>
      <w:pPr>
        <w:pStyle w:val="ListParagraph"/>
        <w:numPr>
          <w:ilvl w:val="0"/>
          <w:numId w:val="1"/>
        </w:numPr>
      </w:pPr>
      <w:r>
        <w:t xml:space="preserve">Campos de contacto y registro: Aserradero o empresa montadora, certificado de procedencia legal de la madera (cadena de custodia), responsable de cálculo estructural y taller de prefabricación.</w:t>
      </w:r>
    </w:p>
    <w:p>
      <w:pPr>
        <w:pStyle w:val="ListParagraph"/>
        <w:numPr>
          <w:ilvl w:val="0"/>
          <w:numId w:val="1"/>
        </w:numPr>
      </w:pPr>
      <w:r>
        <w:t xml:space="preserve">Especificaciones técnicas mínimas: Especie botánica y clasificación resistente; porcentaje máximo de humedad en entrega (idealmente entre 12% y 18% según zona climática); tipo de tratamiento químico preservante (autoclave clase de uso 3 o 4 contra xilófagos y pudrición).</w:t>
      </w:r>
    </w:p>
    <w:p>
      <w:pPr>
        <w:pStyle w:val="ListParagraph"/>
        <w:numPr>
          <w:ilvl w:val="0"/>
          <w:numId w:val="1"/>
        </w:numPr>
      </w:pPr>
      <w:r>
        <w:t xml:space="preserve">Control de tolerancias y uniones: Calidad y recubrimiento anticorrosivo de la herrería de fijación (conectores galvanizados en caliente o acero inoxidable A2/A4), y precisión de mecanizados en taller.</w:t>
      </w:r>
    </w:p>
    <w:p>
      <w:pPr>
        <w:pStyle w:val="ListParagraph"/>
        <w:numPr>
          <w:ilvl w:val="0"/>
          <w:numId w:val="1"/>
        </w:numPr>
      </w:pPr>
      <w:r>
        <w:t xml:space="preserve">Garantías y sustituciones: Plazo de garantía de estabilidad y compromiso de reemplazo sin costo de piezas que presenten alabeos excesivos, grietas estructurales o ataque biológico prematuro.</w:t>
      </w:r>
    </w:p>
    <w:p>
      <w:pPr>
        <w:pStyle w:val="Heading1"/>
      </w:pPr>
      <w:r>
        <w:t xml:space="preserve">4. Rubro 3: Cubiertas y Sistemas de Envolvente</w:t>
      </w:r>
    </w:p>
    <w:p>
      <w:r>
        <w:t xml:space="preserve">La envolvente superior protege la edificación contra intemperie y radiación solar. Requiere coordinación precisa entre aislamiento térmico, barreras hidrófugas y ventilación de la cámara para prevenir condensaciones.</w:t>
      </w:r>
    </w:p>
    <w:p>
      <w:pPr>
        <w:pStyle w:val="ListParagraph"/>
        <w:numPr>
          <w:ilvl w:val="0"/>
          <w:numId w:val="1"/>
        </w:numPr>
      </w:pPr>
      <w:r>
        <w:t xml:space="preserve">Campos de contacto y registro: Instalador especialista en tejados, distribuidor de materiales de cubierta, datos de póliza para trabajos en altura del personal.</w:t>
      </w:r>
    </w:p>
    <w:p>
      <w:pPr>
        <w:pStyle w:val="ListParagraph"/>
        <w:numPr>
          <w:ilvl w:val="0"/>
          <w:numId w:val="1"/>
        </w:numPr>
      </w:pPr>
      <w:r>
        <w:t xml:space="preserve">Especificaciones técnicas mínimas: Tipo de revestimiento exterior (teja cerámica, chapa metálica prepintada tipo sándwich, teja asfáltica o cubierta vegetal); especificación de la lámina impermeable y transpirable; espesor y densidad del aislamiento térmico (lana de roca, fibra de madera, poliuretano).</w:t>
      </w:r>
    </w:p>
    <w:p>
      <w:pPr>
        <w:pStyle w:val="ListParagraph"/>
        <w:numPr>
          <w:ilvl w:val="0"/>
          <w:numId w:val="1"/>
        </w:numPr>
      </w:pPr>
      <w:r>
        <w:t xml:space="preserve">Detalles constructivos y remates: Inclusión de cumbreras ventiladas, remates perimetrales de zinc o aluminio lacado, canalones y bajantes pluviales adecuadamente dimensionados.</w:t>
      </w:r>
    </w:p>
    <w:p>
      <w:pPr>
        <w:pStyle w:val="ListParagraph"/>
        <w:numPr>
          <w:ilvl w:val="0"/>
          <w:numId w:val="1"/>
        </w:numPr>
      </w:pPr>
      <w:r>
        <w:t xml:space="preserve">Garantías exigibles: Mínimo de 5 a 10 años de estanqueidad hidrófuga garantizada por escrito por el instalador, además de la garantía comercial del fabricante del material de cubierta.</w:t>
      </w:r>
    </w:p>
    <w:p>
      <w:pPr>
        <w:pStyle w:val="Heading1"/>
      </w:pPr>
      <w:r>
        <w:t xml:space="preserve">5. Rubro 4: Instalaciones Hidrosanitarias y Saneamiento</w:t>
      </w:r>
    </w:p>
    <w:p>
      <w:r>
        <w:t xml:space="preserve">Abarca el suministro de agua fría y caliente sanitaria (ACS), evacuación de residuales, ventilación primaria y sistemas de tratamiento descentralizado (fosas sépticas o biodigestores) comunes en áreas rústicas.</w:t>
      </w:r>
    </w:p>
    <w:p>
      <w:pPr>
        <w:pStyle w:val="ListParagraph"/>
        <w:numPr>
          <w:ilvl w:val="0"/>
          <w:numId w:val="1"/>
        </w:numPr>
      </w:pPr>
      <w:r>
        <w:t xml:space="preserve">Campos de contacto y registro: Instalador fontanero autorizado/certificado, carné profesional, contacto de emergencia y seguro de responsabilidad civil por daños por agua.</w:t>
      </w:r>
    </w:p>
    <w:p>
      <w:pPr>
        <w:pStyle w:val="ListParagraph"/>
        <w:numPr>
          <w:ilvl w:val="0"/>
          <w:numId w:val="1"/>
        </w:numPr>
      </w:pPr>
      <w:r>
        <w:t xml:space="preserve">Especificaciones técnicas mínimas: Material de tuberías de presión (PEX, multicapa o PPR soldados con termofusión, evitando uniones empotradas mecánicas no registrables); tuberías de desagüe en PVC insonorizado o serie evacuable con pendientes mínimas normativas.</w:t>
      </w:r>
    </w:p>
    <w:p>
      <w:pPr>
        <w:pStyle w:val="ListParagraph"/>
        <w:numPr>
          <w:ilvl w:val="0"/>
          <w:numId w:val="1"/>
        </w:numPr>
      </w:pPr>
      <w:r>
        <w:t xml:space="preserve">Tratamiento y almacenamiento: Capacidad y homologación del biodigestor o fosa séptica con filtro biológico anaeróbico; cálculo de volumen para depósito de reserva de agua y sistema de presurización (bomba/hidróforo).</w:t>
      </w:r>
    </w:p>
    <w:p>
      <w:pPr>
        <w:pStyle w:val="ListParagraph"/>
        <w:numPr>
          <w:ilvl w:val="0"/>
          <w:numId w:val="1"/>
        </w:numPr>
      </w:pPr>
      <w:r>
        <w:t xml:space="preserve">Pruebas de servicio y garantías: Certificado de prueba de estanqueidad a presión (mínimo 1,5 veces la presión de trabajo durante el tiempo normativo) y garantía de 2 años en estanqueidad de uniones e instalación.</w:t>
      </w:r>
    </w:p>
    <w:p>
      <w:pPr>
        <w:pStyle w:val="Heading1"/>
      </w:pPr>
      <w:r>
        <w:t xml:space="preserve">6. Rubro 5: Instalación Eléctrica, Iluminación y Energías Renovables</w:t>
      </w:r>
    </w:p>
    <w:p>
      <w:r>
        <w:t xml:space="preserve">Cubre la acometida o generación aislada (fotovoltaica con baterías), cuadro de mando y protección, canalizaciones ignífugas y puntos terminales de consumo y alumbrado de bajo consumo.</w:t>
      </w:r>
    </w:p>
    <w:p>
      <w:pPr>
        <w:pStyle w:val="ListParagraph"/>
        <w:numPr>
          <w:ilvl w:val="0"/>
          <w:numId w:val="1"/>
        </w:numPr>
      </w:pPr>
      <w:r>
        <w:t xml:space="preserve">Campos de contacto y registro: Electricista matriculado o instalador autorizado de baja tensión, empresa técnica de energía solar fotovoltaica, número de colegiatura o habilitación administrativa.</w:t>
      </w:r>
    </w:p>
    <w:p>
      <w:pPr>
        <w:pStyle w:val="ListParagraph"/>
        <w:numPr>
          <w:ilvl w:val="0"/>
          <w:numId w:val="1"/>
        </w:numPr>
      </w:pPr>
      <w:r>
        <w:t xml:space="preserve">Especificaciones técnicas mínimas: Cuadro general con protectores contra sobretensiones (permanentes y transitorias), interruptores diferenciales de alta sensibilidad (30 mA) y magnetotérmicos calibrados por circuito; canalización bajo tubo corrugado libre de halógenos o autoextinguible.</w:t>
      </w:r>
    </w:p>
    <w:p>
      <w:pPr>
        <w:pStyle w:val="ListParagraph"/>
        <w:numPr>
          <w:ilvl w:val="0"/>
          <w:numId w:val="1"/>
        </w:numPr>
      </w:pPr>
      <w:r>
        <w:t xml:space="preserve">Sistemas solares/aislados (si aplica): Potencia pico en paneles (Wp), tecnología de acumulación (baterías LiFePO4 recomendadas frente a plomo-ácido), e inversor/cargador de onda senoidal pura dimensionado para picos de arranque.</w:t>
      </w:r>
    </w:p>
    <w:p>
      <w:pPr>
        <w:pStyle w:val="ListParagraph"/>
        <w:numPr>
          <w:ilvl w:val="0"/>
          <w:numId w:val="1"/>
        </w:numPr>
      </w:pPr>
      <w:r>
        <w:t xml:space="preserve">Documentación y entrega: Boletín eléctrico oficial / certificado de instalación eléctrica para contratación de suministro, planos as-built del trazado de cableado y garantía de 2 años en mano de obra.</w:t>
      </w:r>
    </w:p>
    <w:p>
      <w:pPr>
        <w:pStyle w:val="Heading1"/>
      </w:pPr>
      <w:r>
        <w:t xml:space="preserve">7. Rubro 6: Revestimientos, Carpinterías y Acabados Interiores</w:t>
      </w:r>
    </w:p>
    <w:p>
      <w:r>
        <w:t xml:space="preserve">Incluye puertas, ventanas exteriores de alta eficiencia, trasdosados interiores, pavimentos y tratamiento de superficies expuestas al uso continuo en alquileres o residencia vacacional.</w:t>
      </w:r>
    </w:p>
    <w:p>
      <w:pPr>
        <w:pStyle w:val="ListParagraph"/>
        <w:numPr>
          <w:ilvl w:val="0"/>
          <w:numId w:val="1"/>
        </w:numPr>
      </w:pPr>
      <w:r>
        <w:t xml:space="preserve">Campos de contacto y registro: Carpintería de aluminio/PVC/madera, instalador de suelos, pintor/aplicador de lasures e impregnantes.</w:t>
      </w:r>
    </w:p>
    <w:p>
      <w:pPr>
        <w:pStyle w:val="ListParagraph"/>
        <w:numPr>
          <w:ilvl w:val="0"/>
          <w:numId w:val="1"/>
        </w:numPr>
      </w:pPr>
      <w:r>
        <w:t xml:space="preserve">Especificaciones técnicas de carpinterías: Coeficiente de transmitancia térmica (valor U), tipo de acristalamiento (doble vidrio bajo emisivo con cámara rellena de gas argón), herrajes perimetrales y permeabilidad al aire (clase 3 o 4).</w:t>
      </w:r>
    </w:p>
    <w:p>
      <w:pPr>
        <w:pStyle w:val="ListParagraph"/>
        <w:numPr>
          <w:ilvl w:val="0"/>
          <w:numId w:val="1"/>
        </w:numPr>
      </w:pPr>
      <w:r>
        <w:t xml:space="preserve">Revestimientos y suelos: Resistencia al desgaste (AC4/AC5 para suelos laminados o clase de uso equivalente en madera maciza/cerámica), tratamiento antideslizante en zonas húmedas y barnices o aceites ecológicos de baja emisión de COVs.</w:t>
      </w:r>
    </w:p>
    <w:p>
      <w:pPr>
        <w:pStyle w:val="ListParagraph"/>
        <w:numPr>
          <w:ilvl w:val="0"/>
          <w:numId w:val="1"/>
        </w:numPr>
      </w:pPr>
      <w:r>
        <w:t xml:space="preserve">Garantías y puesta en marcha: Certificado de sellado perimetral contra infiltraciones de aire y agua, regulación de herrajes a 6 meses de uso, y garantía estándar de 2 a 5 años en mecanismos y perfiles.</w:t>
      </w:r>
    </w:p>
    <w:p>
      <w:pPr>
        <w:pStyle w:val="Heading1"/>
      </w:pPr>
      <w:r>
        <w:t xml:space="preserve">8. Matriz Comparativa y Pauta de Adjudicación</w:t>
      </w:r>
    </w:p>
    <w:p>
      <w:r>
        <w:t xml:space="preserve">La decisión final de contratación no debe fundamentarse exclusivamente en el menor precio aparente. Esta matriz de ponderación objetiva permite clasificar a los tres candidatos finales de cada rubro asignando puntuaciones cuantitativas de 1 a 5 en cada variable clave.</w:t>
      </w:r>
    </w:p>
    <w:p>
      <w:pPr>
        <w:pStyle w:val="ListParagraph"/>
        <w:numPr>
          <w:ilvl w:val="0"/>
          <w:numId w:val="1"/>
        </w:numPr>
      </w:pPr>
      <w:r>
        <w:t xml:space="preserve">Criterio 1: Desglose y coherencia del presupuesto (Ponderación sugerida: 25%) - Evalúa la ausencia de omisiones técnicas y la claridad en la medición de unidades.</w:t>
      </w:r>
    </w:p>
    <w:p>
      <w:pPr>
        <w:pStyle w:val="ListParagraph"/>
        <w:numPr>
          <w:ilvl w:val="0"/>
          <w:numId w:val="1"/>
        </w:numPr>
      </w:pPr>
      <w:r>
        <w:t xml:space="preserve">Criterio 2: Plazos de entrega y penalizaciones aceptadas (Ponderación sugerida: 20%) - Evalúa el compromiso contractual y realismo del cronograma propuesto.</w:t>
      </w:r>
    </w:p>
    <w:p>
      <w:pPr>
        <w:pStyle w:val="ListParagraph"/>
        <w:numPr>
          <w:ilvl w:val="0"/>
          <w:numId w:val="1"/>
        </w:numPr>
      </w:pPr>
      <w:r>
        <w:t xml:space="preserve">Criterio 3: Experiencia previa y solvencia técnica (Ponderación sugerida: 25%) - Inspección visual o telefónica de obras recientes y capacitación demostrada del personal en obra.</w:t>
      </w:r>
    </w:p>
    <w:p>
      <w:pPr>
        <w:pStyle w:val="ListParagraph"/>
        <w:numPr>
          <w:ilvl w:val="0"/>
          <w:numId w:val="1"/>
        </w:numPr>
      </w:pPr>
      <w:r>
        <w:t xml:space="preserve">Criterio 4: Condiciones de garantía y servicio posventa (Ponderación sugerida: 15%) - Facilidad de respuesta ante incidencias y extensión de garantías por encima del mínimo legal.</w:t>
      </w:r>
    </w:p>
    <w:p>
      <w:pPr>
        <w:pStyle w:val="ListParagraph"/>
        <w:numPr>
          <w:ilvl w:val="0"/>
          <w:numId w:val="1"/>
        </w:numPr>
      </w:pPr>
      <w:r>
        <w:t xml:space="preserve">Criterio 5: Estructura financiera y esquema de cobros (Ponderación sugerida: 15%) - Flexibilidad en retenciones de garantía y ausencia de exigencias desproporcionadas de anticipo previo a la entrega de material en sitio.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2026-10-23T01:42:05.106Z</dcterms:created>
  <dcterms:modified xsi:type="dcterms:W3CDTF">2026-10-23T01:42:05.106Z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